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28" w:rsidRPr="00F95117" w:rsidRDefault="008B3A28" w:rsidP="008B3A28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9247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臺北市立弘道國民</w:t>
      </w:r>
      <w:r w:rsidRPr="0039247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中學學生申訴</w:t>
      </w:r>
      <w:r w:rsidRPr="0039247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案件處理</w:t>
      </w:r>
      <w:r w:rsidRPr="0039247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要點</w:t>
      </w:r>
      <w:bookmarkStart w:id="0" w:name="_GoBack"/>
      <w:bookmarkEnd w:id="0"/>
    </w:p>
    <w:p w:rsidR="008B3A28" w:rsidRPr="00F95117" w:rsidRDefault="008B3A28" w:rsidP="008B3A28">
      <w:pPr>
        <w:adjustRightInd w:val="0"/>
        <w:snapToGrid w:val="0"/>
        <w:spacing w:line="24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96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年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月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24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日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校務會議通過</w:t>
      </w:r>
    </w:p>
    <w:p w:rsidR="008B3A28" w:rsidRPr="00F95117" w:rsidRDefault="008B3A28" w:rsidP="008B3A28">
      <w:pPr>
        <w:adjustRightInd w:val="0"/>
        <w:snapToGrid w:val="0"/>
        <w:spacing w:line="24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100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年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8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月10日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校務會議通過</w:t>
      </w:r>
    </w:p>
    <w:p w:rsidR="008B3A28" w:rsidRPr="00F95117" w:rsidRDefault="008B3A28" w:rsidP="008B3A28">
      <w:pPr>
        <w:adjustRightInd w:val="0"/>
        <w:snapToGrid w:val="0"/>
        <w:spacing w:line="24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107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年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8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月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29</w:t>
      </w:r>
      <w:r w:rsidR="00B907D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日</w:t>
      </w:r>
      <w:r w:rsidRPr="00F951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校務會議通過</w:t>
      </w:r>
    </w:p>
    <w:p w:rsidR="008B3A28" w:rsidRPr="0039247E" w:rsidRDefault="008B3A28" w:rsidP="008B3A28">
      <w:pPr>
        <w:widowControl/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9247E">
        <w:rPr>
          <w:rFonts w:ascii="標楷體" w:eastAsia="標楷體" w:hAnsi="標楷體" w:cs="新細明體"/>
          <w:kern w:val="0"/>
          <w:sz w:val="28"/>
          <w:szCs w:val="28"/>
        </w:rPr>
        <w:t>依據</w:t>
      </w:r>
    </w:p>
    <w:p w:rsidR="008B3A28" w:rsidRDefault="008B3A28" w:rsidP="008B3A28">
      <w:pPr>
        <w:widowControl/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03D4">
        <w:rPr>
          <w:rFonts w:ascii="標楷體" w:eastAsia="標楷體" w:hAnsi="標楷體" w:hint="eastAsia"/>
          <w:sz w:val="28"/>
          <w:szCs w:val="28"/>
        </w:rPr>
        <w:t>依國民教育法第二十條之一第三項規定訂定之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B3A28" w:rsidRPr="008B3A28" w:rsidRDefault="008B3A28" w:rsidP="008B3A28">
      <w:pPr>
        <w:widowControl/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B3A28">
        <w:rPr>
          <w:rFonts w:ascii="標楷體" w:eastAsia="標楷體" w:hAnsi="標楷體" w:cs="新細明體" w:hint="eastAsia"/>
          <w:kern w:val="0"/>
          <w:sz w:val="28"/>
          <w:szCs w:val="28"/>
        </w:rPr>
        <w:t>臺北市政府教育局106年8月17日北市教</w:t>
      </w:r>
      <w:proofErr w:type="gramStart"/>
      <w:r w:rsidRPr="008B3A28">
        <w:rPr>
          <w:rFonts w:ascii="標楷體" w:eastAsia="標楷體" w:hAnsi="標楷體" w:cs="新細明體" w:hint="eastAsia"/>
          <w:kern w:val="0"/>
          <w:sz w:val="28"/>
          <w:szCs w:val="28"/>
        </w:rPr>
        <w:t>中字第10638047500號函訂</w:t>
      </w:r>
      <w:proofErr w:type="gramEnd"/>
      <w:r w:rsidRPr="008B3A28">
        <w:rPr>
          <w:rFonts w:ascii="標楷體" w:eastAsia="標楷體" w:hAnsi="標楷體" w:cs="新細明體" w:hint="eastAsia"/>
          <w:kern w:val="0"/>
          <w:sz w:val="28"/>
          <w:szCs w:val="28"/>
        </w:rPr>
        <w:t>定「臺北市國民中小學學生申訴及再申訴案件處理辦法」及100年2月8日修正之「特殊教育學生申訴服務辦法」訂定之。</w:t>
      </w:r>
    </w:p>
    <w:p w:rsidR="008B3A28" w:rsidRPr="0039247E" w:rsidRDefault="008B3A28" w:rsidP="008B3A28">
      <w:pPr>
        <w:widowControl/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9247E">
        <w:rPr>
          <w:rFonts w:ascii="標楷體" w:eastAsia="標楷體" w:hAnsi="標楷體" w:cs="新細明體" w:hint="eastAsia"/>
          <w:kern w:val="0"/>
          <w:sz w:val="28"/>
          <w:szCs w:val="28"/>
        </w:rPr>
        <w:t>目的</w:t>
      </w:r>
    </w:p>
    <w:p w:rsidR="008B3A28" w:rsidRPr="0039247E" w:rsidRDefault="008B3A28" w:rsidP="008B3A28">
      <w:pPr>
        <w:widowControl/>
        <w:adjustRightInd w:val="0"/>
        <w:snapToGrid w:val="0"/>
        <w:spacing w:line="240" w:lineRule="atLeast"/>
        <w:ind w:leftChars="200" w:left="104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39247E">
        <w:rPr>
          <w:rFonts w:ascii="標楷體" w:eastAsia="標楷體" w:hAnsi="標楷體" w:cs="新細明體" w:hint="eastAsia"/>
          <w:kern w:val="0"/>
          <w:sz w:val="28"/>
          <w:szCs w:val="28"/>
        </w:rPr>
        <w:t>為建立學生正式申訴管道，以保障學生權益，促進校園和諧</w:t>
      </w:r>
      <w:r w:rsidRPr="0039247E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B3A28" w:rsidRPr="0039247E" w:rsidRDefault="008B3A28" w:rsidP="008B3A2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9247E">
        <w:rPr>
          <w:rFonts w:ascii="標楷體" w:eastAsia="標楷體" w:hAnsi="標楷體" w:cs="新細明體" w:hint="eastAsia"/>
          <w:kern w:val="0"/>
          <w:sz w:val="28"/>
          <w:szCs w:val="28"/>
        </w:rPr>
        <w:t>申訴要點</w:t>
      </w:r>
    </w:p>
    <w:p w:rsidR="008B3A28" w:rsidRPr="0039247E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學生對學校有關其個人之管教措施，認為違法或不當致損害其權益者，得於其法定代理人知悉管教措施作成或以書面方式送達之次日起</w:t>
      </w:r>
      <w:proofErr w:type="gramStart"/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proofErr w:type="gramEnd"/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十日內，由其法定代理人以書面代為向學校提出申訴。</w:t>
      </w:r>
    </w:p>
    <w:p w:rsidR="008B3A28" w:rsidRPr="0039247E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但自管教措施作成後，已逾一年者，不得提出。前項申訴之提出，同一案件以一次為限。</w:t>
      </w:r>
      <w:r w:rsidRPr="0039247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B3A28" w:rsidRPr="0039247E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申訴提出後，於申訴評議決定書送達前，申訴人得由其法定代理人代為撤回之。申訴經撤回後，不得復提出同一之申訴。</w:t>
      </w:r>
    </w:p>
    <w:p w:rsidR="008B3A28" w:rsidRPr="00500FC8" w:rsidRDefault="008B3A28" w:rsidP="008B3A28">
      <w:pPr>
        <w:widowControl/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0FC8">
        <w:rPr>
          <w:rFonts w:ascii="標楷體" w:eastAsia="標楷體" w:hAnsi="標楷體" w:cs="新細明體" w:hint="eastAsia"/>
          <w:kern w:val="0"/>
          <w:sz w:val="28"/>
          <w:szCs w:val="28"/>
        </w:rPr>
        <w:t>學校為處理學生申訴案件，設學生申訴評議委員會（以下簡稱申評會）。</w:t>
      </w:r>
    </w:p>
    <w:p w:rsidR="008B3A28" w:rsidRPr="0010780C" w:rsidRDefault="008B3A28" w:rsidP="008B3A28">
      <w:pPr>
        <w:widowControl/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申評會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置委員十三</w:t>
      </w:r>
      <w:r w:rsidRPr="0010780C">
        <w:rPr>
          <w:rFonts w:ascii="標楷體" w:eastAsia="標楷體" w:hAnsi="標楷體" w:cs="新細明體" w:hint="eastAsia"/>
          <w:kern w:val="0"/>
          <w:sz w:val="28"/>
          <w:szCs w:val="28"/>
        </w:rPr>
        <w:t>人，任期一年，</w:t>
      </w:r>
      <w:proofErr w:type="gramStart"/>
      <w:r w:rsidRPr="0010780C">
        <w:rPr>
          <w:rFonts w:ascii="標楷體" w:eastAsia="標楷體" w:hAnsi="標楷體" w:cs="新細明體" w:hint="eastAsia"/>
          <w:kern w:val="0"/>
          <w:sz w:val="28"/>
          <w:szCs w:val="28"/>
        </w:rPr>
        <w:t>均為無</w:t>
      </w:r>
      <w:proofErr w:type="gramEnd"/>
      <w:r w:rsidRPr="0010780C">
        <w:rPr>
          <w:rFonts w:ascii="標楷體" w:eastAsia="標楷體" w:hAnsi="標楷體" w:cs="新細明體" w:hint="eastAsia"/>
          <w:kern w:val="0"/>
          <w:sz w:val="28"/>
          <w:szCs w:val="28"/>
        </w:rPr>
        <w:t>給職，由校長就下列人員聘任之：</w:t>
      </w:r>
    </w:p>
    <w:p w:rsidR="008B3A28" w:rsidRPr="006D03D4" w:rsidRDefault="008B3A28" w:rsidP="008B3A28">
      <w:pPr>
        <w:numPr>
          <w:ilvl w:val="1"/>
          <w:numId w:val="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學校行政人員代表</w:t>
      </w:r>
      <w:r w:rsidRPr="006D03D4">
        <w:rPr>
          <w:rFonts w:ascii="標楷體" w:eastAsia="標楷體" w:hAnsi="標楷體" w:hint="eastAsia"/>
          <w:sz w:val="28"/>
          <w:szCs w:val="28"/>
        </w:rPr>
        <w:t>三人。</w:t>
      </w:r>
    </w:p>
    <w:p w:rsidR="008B3A28" w:rsidRPr="00065FFF" w:rsidRDefault="008B3A28" w:rsidP="008B3A28">
      <w:pPr>
        <w:widowControl/>
        <w:numPr>
          <w:ilvl w:val="1"/>
          <w:numId w:val="4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學校教師代表三人，由各年級導師各推一人代表</w:t>
      </w:r>
      <w:r w:rsidRPr="006D03D4">
        <w:rPr>
          <w:rFonts w:ascii="標楷體" w:eastAsia="標楷體" w:hAnsi="標楷體" w:hint="eastAsia"/>
          <w:sz w:val="28"/>
          <w:szCs w:val="28"/>
        </w:rPr>
        <w:t>。</w:t>
      </w:r>
    </w:p>
    <w:p w:rsidR="008B3A28" w:rsidRDefault="008B3A28" w:rsidP="008B3A28">
      <w:pPr>
        <w:widowControl/>
        <w:numPr>
          <w:ilvl w:val="1"/>
          <w:numId w:val="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家長代表</w:t>
      </w:r>
      <w:r w:rsidRPr="006D03D4">
        <w:rPr>
          <w:rFonts w:ascii="標楷體" w:eastAsia="標楷體" w:hAnsi="標楷體" w:hint="eastAsia"/>
          <w:sz w:val="28"/>
          <w:szCs w:val="28"/>
        </w:rPr>
        <w:t>三人</w:t>
      </w:r>
      <w:r>
        <w:rPr>
          <w:rFonts w:ascii="標楷體" w:eastAsia="標楷體" w:hAnsi="標楷體" w:hint="eastAsia"/>
          <w:sz w:val="28"/>
          <w:szCs w:val="28"/>
        </w:rPr>
        <w:t>，由家長會推選代表</w:t>
      </w:r>
      <w:r w:rsidRPr="006D03D4">
        <w:rPr>
          <w:rFonts w:ascii="標楷體" w:eastAsia="標楷體" w:hAnsi="標楷體" w:hint="eastAsia"/>
          <w:sz w:val="28"/>
          <w:szCs w:val="28"/>
        </w:rPr>
        <w:t>。</w:t>
      </w:r>
    </w:p>
    <w:p w:rsidR="008B3A28" w:rsidRPr="008B3A28" w:rsidRDefault="008B3A28" w:rsidP="008B3A28">
      <w:pPr>
        <w:widowControl/>
        <w:numPr>
          <w:ilvl w:val="1"/>
          <w:numId w:val="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B3A28">
        <w:rPr>
          <w:rFonts w:ascii="標楷體" w:eastAsia="標楷體" w:hAnsi="標楷體" w:hint="eastAsia"/>
          <w:sz w:val="28"/>
          <w:szCs w:val="28"/>
        </w:rPr>
        <w:t>校外之教育、心理、法律等相關領域專家學者，或社會公正人士一人，由校長聘請。</w:t>
      </w:r>
    </w:p>
    <w:p w:rsidR="008B3A28" w:rsidRPr="00F95117" w:rsidRDefault="008B3A28" w:rsidP="00F95117">
      <w:pPr>
        <w:numPr>
          <w:ilvl w:val="1"/>
          <w:numId w:val="4"/>
        </w:numPr>
        <w:spacing w:line="440" w:lineRule="exact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學生代表三</w:t>
      </w:r>
      <w:r w:rsidRPr="0071366F">
        <w:rPr>
          <w:rFonts w:ascii="標楷體" w:eastAsia="標楷體" w:hAnsi="標楷體" w:hint="eastAsia"/>
          <w:sz w:val="28"/>
          <w:szCs w:val="28"/>
        </w:rPr>
        <w:t>人，</w:t>
      </w:r>
      <w:r w:rsidRPr="0071366F">
        <w:rPr>
          <w:rFonts w:ascii="標楷體" w:eastAsia="標楷體" w:hAnsi="標楷體" w:cs="新細明體" w:hint="eastAsia"/>
          <w:kern w:val="0"/>
          <w:sz w:val="28"/>
          <w:szCs w:val="28"/>
        </w:rPr>
        <w:t>於本校班聯會中推選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七、八、</w:t>
      </w:r>
      <w:r w:rsidRPr="0071366F">
        <w:rPr>
          <w:rFonts w:ascii="標楷體" w:eastAsia="標楷體" w:hAnsi="標楷體" w:cs="新細明體" w:hint="eastAsia"/>
          <w:kern w:val="0"/>
          <w:sz w:val="28"/>
          <w:szCs w:val="28"/>
        </w:rPr>
        <w:t>九年級學生代表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Pr="0071366F">
        <w:rPr>
          <w:rFonts w:ascii="標楷體" w:eastAsia="標楷體" w:hAnsi="標楷體" w:cs="新細明體" w:hint="eastAsia"/>
          <w:kern w:val="0"/>
          <w:sz w:val="28"/>
          <w:szCs w:val="28"/>
        </w:rPr>
        <w:t>一人。</w:t>
      </w:r>
    </w:p>
    <w:p w:rsidR="008B3A28" w:rsidRPr="00065FFF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前項第一款至第三款委員之人數應相等，委員因故出缺時，其繼任委員任期至原任期屆滿日。第二項委員任</w:t>
      </w:r>
      <w:proofErr w:type="gramStart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性別不得少於委員總數三分之一。</w:t>
      </w:r>
    </w:p>
    <w:p w:rsidR="008B3A28" w:rsidRPr="00065FFF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proofErr w:type="gramEnd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聘學生代表擔任委員時，應先取得其法定代理人之同意。</w:t>
      </w:r>
    </w:p>
    <w:p w:rsidR="008B3A28" w:rsidRPr="00065FFF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065FFF">
        <w:rPr>
          <w:rFonts w:ascii="標楷體" w:eastAsia="標楷體" w:hAnsi="標楷體" w:hint="eastAsia"/>
          <w:sz w:val="28"/>
        </w:rPr>
        <w:t>申評會置召集人一人並擔任主席，由校長指定一人擔任之。召集人不克出席時，由委員互選一人擔任主席。</w:t>
      </w:r>
    </w:p>
    <w:p w:rsidR="008B3A28" w:rsidRPr="00065FFF" w:rsidRDefault="008B3A28" w:rsidP="008B3A28">
      <w:pPr>
        <w:numPr>
          <w:ilvl w:val="1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學生獎懲委員會委員，不得兼任申評會委員。</w:t>
      </w:r>
    </w:p>
    <w:p w:rsidR="008B3A28" w:rsidRPr="00065FFF" w:rsidRDefault="008B3A28" w:rsidP="008B3A28">
      <w:pPr>
        <w:numPr>
          <w:ilvl w:val="1"/>
          <w:numId w:val="3"/>
        </w:numPr>
        <w:kinsoku w:val="0"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委員於任期中無故缺席達二次或因故無法執行職務者，得由校長解除其委員職務，並依第二項</w:t>
      </w:r>
      <w:proofErr w:type="gramStart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規定補聘之</w:t>
      </w:r>
      <w:proofErr w:type="gramEnd"/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，其繼任委員任期至原任期屆滿日。</w:t>
      </w:r>
    </w:p>
    <w:p w:rsidR="008B3A28" w:rsidRPr="00065FFF" w:rsidRDefault="008B3A28" w:rsidP="00A35CDE">
      <w:pPr>
        <w:numPr>
          <w:ilvl w:val="1"/>
          <w:numId w:val="3"/>
        </w:numPr>
        <w:kinsoku w:val="0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學校為處理特殊教育學生申訴案件時，應增聘委員二名。其中一名由校長聘請特殊教育學者專家、特殊教育家長團體代表或其他特殊教育專業人員擔任；另一名由家長會推選特殊教育家長代表委員擔任之。</w:t>
      </w:r>
    </w:p>
    <w:p w:rsidR="008B3A28" w:rsidRPr="00065FFF" w:rsidRDefault="008B3A28" w:rsidP="00A35CDE">
      <w:pPr>
        <w:numPr>
          <w:ilvl w:val="0"/>
          <w:numId w:val="3"/>
        </w:numPr>
        <w:tabs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申訴及評議處理</w:t>
      </w:r>
    </w:p>
    <w:p w:rsidR="008B3A28" w:rsidRPr="00065FFF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申訴應具申訴書，載明下列事項，由申訴人之法定代理人簽名或蓋章：</w:t>
      </w:r>
    </w:p>
    <w:p w:rsidR="008B3A28" w:rsidRPr="00065FFF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申訴人及法定代理人姓名、性別、出生日期、身分證統一號碼及住址及申訴人與該法定代理人之關係。</w:t>
      </w:r>
    </w:p>
    <w:p w:rsidR="008B3A28" w:rsidRPr="00065FFF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作為申訴標的之管教措施。</w:t>
      </w:r>
    </w:p>
    <w:p w:rsidR="008B3A28" w:rsidRPr="00065FFF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申訴之事實及理由。</w:t>
      </w:r>
    </w:p>
    <w:p w:rsidR="008B3A28" w:rsidRPr="00065FFF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收受或知悉管教措施之年、月、日。</w:t>
      </w:r>
    </w:p>
    <w:p w:rsidR="008B3A28" w:rsidRPr="00065FFF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受理申訴之學校。</w:t>
      </w:r>
    </w:p>
    <w:p w:rsidR="008B3A28" w:rsidRDefault="008B3A28" w:rsidP="00A35CDE">
      <w:pPr>
        <w:numPr>
          <w:ilvl w:val="0"/>
          <w:numId w:val="5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提起申訴之年、月、日。委任代理人提出申訴者，應出具代理人之委任書。</w:t>
      </w:r>
    </w:p>
    <w:p w:rsidR="008B3A28" w:rsidRPr="00065FFF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5FFF">
        <w:rPr>
          <w:rFonts w:ascii="標楷體" w:eastAsia="標楷體" w:hAnsi="標楷體" w:cs="新細明體" w:hint="eastAsia"/>
          <w:kern w:val="0"/>
          <w:sz w:val="28"/>
          <w:szCs w:val="28"/>
        </w:rPr>
        <w:t>學校認為申訴書不合前項要點所定之程式，而其情形可補正者，應通知申訴人之法定代理人於十日內補正。</w:t>
      </w:r>
    </w:p>
    <w:p w:rsidR="008B3A28" w:rsidRPr="00500FC8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color w:val="0070C0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評會會議以不公開及書面審理為原則。評議時，應主動通知申訴人及其法定代理人到場陳述意見；必要時並得通知關係人到會說明。申評會會議之評議決定，以無記名投票表決方式為之，其評議經過及個別委員意見應予保密。</w:t>
      </w:r>
    </w:p>
    <w:p w:rsidR="008B3A28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申評會會議評議時，委員應親自出席，不得委託他人代理出席。評議決定應經申評會會議之決議，其決議以委員三分之二以上出席，出席委員二分之一以上之同意行之。</w:t>
      </w:r>
    </w:p>
    <w:p w:rsidR="008B3A28" w:rsidRPr="00E55E5A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申評會處理申訴案件，關於委員之迴避，依行政程序法第三十二條及第三十三條規定。</w:t>
      </w:r>
    </w:p>
    <w:p w:rsidR="008B3A28" w:rsidRPr="00E55E5A" w:rsidRDefault="008B3A28" w:rsidP="00A35CDE">
      <w:pPr>
        <w:numPr>
          <w:ilvl w:val="1"/>
          <w:numId w:val="3"/>
        </w:num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申訴案件有下列各款情形之</w:t>
      </w:r>
      <w:proofErr w:type="gramStart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者，應為不受理之決定：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申訴書不合程式不能補正或經通知限期補正屆期</w:t>
      </w:r>
      <w:proofErr w:type="gramStart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補正者。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A36E6">
        <w:rPr>
          <w:rFonts w:ascii="標楷體" w:eastAsia="標楷體" w:hAnsi="標楷體" w:cs="新細明體" w:hint="eastAsia"/>
          <w:kern w:val="0"/>
          <w:sz w:val="28"/>
          <w:szCs w:val="28"/>
        </w:rPr>
        <w:t>提起申訴逾申訴要點所定期間。</w:t>
      </w: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但因不可歸責於申訴人之法定代理人之事由致逾越期限，並提出具體證明者，不在此限。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hint="eastAsia"/>
          <w:kern w:val="0"/>
          <w:sz w:val="28"/>
          <w:szCs w:val="28"/>
        </w:rPr>
        <w:t>申訴人</w:t>
      </w:r>
      <w:proofErr w:type="gramStart"/>
      <w:r w:rsidRPr="00E55E5A">
        <w:rPr>
          <w:rFonts w:ascii="標楷體" w:eastAsia="標楷體" w:hAnsi="標楷體" w:hint="eastAsia"/>
          <w:kern w:val="0"/>
          <w:sz w:val="28"/>
          <w:szCs w:val="28"/>
        </w:rPr>
        <w:t>不適格者</w:t>
      </w:r>
      <w:proofErr w:type="gramEnd"/>
      <w:r w:rsidRPr="00E55E5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原管教措施已不存在者。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對已決定或已撤回之申訴案件重行提起申訴者。</w:t>
      </w:r>
    </w:p>
    <w:p w:rsidR="008B3A28" w:rsidRPr="00E55E5A" w:rsidRDefault="008B3A28" w:rsidP="00A35CDE">
      <w:pPr>
        <w:numPr>
          <w:ilvl w:val="0"/>
          <w:numId w:val="6"/>
        </w:numPr>
        <w:adjustRightInd w:val="0"/>
        <w:snapToGrid w:val="0"/>
        <w:spacing w:line="400" w:lineRule="exac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對於非屬本辦法所定管教措施之事項提出申訴者。</w:t>
      </w:r>
    </w:p>
    <w:p w:rsidR="008B3A28" w:rsidRPr="00E55E5A" w:rsidRDefault="008B3A28" w:rsidP="00A35CDE">
      <w:pPr>
        <w:numPr>
          <w:ilvl w:val="1"/>
          <w:numId w:val="3"/>
        </w:numPr>
        <w:kinsoku w:val="0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申訴之評議決定，自收受申訴書之次日起，應於二十日內為之，並應於評議決定之次日起十日內作成評議決定書。</w:t>
      </w:r>
    </w:p>
    <w:p w:rsidR="008B3A28" w:rsidRPr="009B2EC3" w:rsidRDefault="008B3A28" w:rsidP="008B3A28">
      <w:pPr>
        <w:numPr>
          <w:ilvl w:val="1"/>
          <w:numId w:val="3"/>
        </w:numPr>
        <w:kinsoku w:val="0"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2EC3">
        <w:rPr>
          <w:rFonts w:ascii="標楷體" w:eastAsia="標楷體" w:hAnsi="標楷體" w:cs="新細明體" w:hint="eastAsia"/>
          <w:kern w:val="0"/>
          <w:sz w:val="28"/>
          <w:szCs w:val="28"/>
        </w:rPr>
        <w:t>評議決定書應載明下列事項：</w:t>
      </w:r>
    </w:p>
    <w:p w:rsidR="008B3A28" w:rsidRPr="00E55E5A" w:rsidRDefault="008B3A28" w:rsidP="008B3A28">
      <w:pPr>
        <w:numPr>
          <w:ilvl w:val="0"/>
          <w:numId w:val="7"/>
        </w:numPr>
        <w:kinsoku w:val="0"/>
        <w:adjustRightInd w:val="0"/>
        <w:snapToGrid w:val="0"/>
        <w:spacing w:line="240" w:lineRule="atLeas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43B0">
        <w:rPr>
          <w:rFonts w:ascii="標楷體" w:eastAsia="標楷體" w:hAnsi="標楷體" w:cs="新細明體" w:hint="eastAsia"/>
          <w:kern w:val="0"/>
          <w:sz w:val="28"/>
          <w:szCs w:val="28"/>
        </w:rPr>
        <w:t>申訴人及法定代理人姓名、出生年月日、住、居所及身分證統一號碼。</w:t>
      </w:r>
    </w:p>
    <w:p w:rsidR="008B3A28" w:rsidRPr="00E55E5A" w:rsidRDefault="008B3A28" w:rsidP="008B3A28">
      <w:pPr>
        <w:numPr>
          <w:ilvl w:val="0"/>
          <w:numId w:val="7"/>
        </w:numPr>
        <w:kinsoku w:val="0"/>
        <w:adjustRightInd w:val="0"/>
        <w:snapToGrid w:val="0"/>
        <w:spacing w:line="240" w:lineRule="atLeas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主文、事實及理由；其係不受理決定者，得不記載事實。</w:t>
      </w:r>
    </w:p>
    <w:p w:rsidR="008B3A28" w:rsidRPr="00E55E5A" w:rsidRDefault="008B3A28" w:rsidP="008B3A28">
      <w:pPr>
        <w:numPr>
          <w:ilvl w:val="0"/>
          <w:numId w:val="7"/>
        </w:numPr>
        <w:kinsoku w:val="0"/>
        <w:adjustRightInd w:val="0"/>
        <w:snapToGrid w:val="0"/>
        <w:spacing w:line="240" w:lineRule="atLeas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申評會主席署名。決定作成時主席因故不能執行職務者，由代理主席署名，並記載其事由。</w:t>
      </w:r>
    </w:p>
    <w:p w:rsidR="008B3A28" w:rsidRPr="00E55E5A" w:rsidRDefault="008B3A28" w:rsidP="008B3A28">
      <w:pPr>
        <w:numPr>
          <w:ilvl w:val="0"/>
          <w:numId w:val="7"/>
        </w:numPr>
        <w:kinsoku w:val="0"/>
        <w:adjustRightInd w:val="0"/>
        <w:snapToGrid w:val="0"/>
        <w:spacing w:line="240" w:lineRule="atLeast"/>
        <w:ind w:hanging="6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評議決定書作成之年月日。</w:t>
      </w:r>
    </w:p>
    <w:p w:rsidR="008B3A28" w:rsidRPr="00E55E5A" w:rsidRDefault="008B3A28" w:rsidP="008B3A28">
      <w:pPr>
        <w:numPr>
          <w:ilvl w:val="1"/>
          <w:numId w:val="3"/>
        </w:numPr>
        <w:kinsoku w:val="0"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申訴評議決定書應附記，如不服申訴評議決定，得於申訴評議決定書送達之次日起</w:t>
      </w:r>
      <w:proofErr w:type="gramStart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proofErr w:type="gramEnd"/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十日內，向臺北市政府教育局（以下簡稱教育局）提出再申訴。</w:t>
      </w:r>
    </w:p>
    <w:p w:rsidR="008B3A28" w:rsidRPr="00E55E5A" w:rsidRDefault="008B3A28" w:rsidP="008B3A28">
      <w:pPr>
        <w:numPr>
          <w:ilvl w:val="1"/>
          <w:numId w:val="3"/>
        </w:numPr>
        <w:kinsoku w:val="0"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cs="新細明體" w:hint="eastAsia"/>
          <w:kern w:val="0"/>
          <w:sz w:val="28"/>
          <w:szCs w:val="28"/>
        </w:rPr>
        <w:t>申評會作成申訴評議決定書，應即以學校名義送達申訴人之法定代理人。其無法送達者，依行政程序法有關規定處理。</w:t>
      </w:r>
    </w:p>
    <w:p w:rsidR="008B3A28" w:rsidRPr="00E55E5A" w:rsidRDefault="008B3A28" w:rsidP="008B3A28">
      <w:pPr>
        <w:numPr>
          <w:ilvl w:val="0"/>
          <w:numId w:val="3"/>
        </w:numPr>
        <w:kinsoku w:val="0"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55E5A">
        <w:rPr>
          <w:rFonts w:ascii="標楷體" w:eastAsia="標楷體" w:hAnsi="標楷體" w:hint="eastAsia"/>
          <w:kern w:val="0"/>
          <w:sz w:val="28"/>
          <w:szCs w:val="28"/>
        </w:rPr>
        <w:t>本校專責單位為輔導室負責申評會相關行政作業事宜。</w:t>
      </w:r>
    </w:p>
    <w:p w:rsidR="008B3A28" w:rsidRPr="00E55E5A" w:rsidRDefault="008B3A28" w:rsidP="008B3A2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E55E5A">
        <w:rPr>
          <w:rFonts w:ascii="標楷體" w:eastAsia="標楷體" w:hAnsi="標楷體" w:cs="新細明體"/>
          <w:kern w:val="0"/>
          <w:sz w:val="28"/>
          <w:szCs w:val="28"/>
        </w:rPr>
        <w:t>本要點經校務會議通過後實施，修正時亦同。</w:t>
      </w:r>
    </w:p>
    <w:p w:rsidR="008B3A28" w:rsidRPr="008B3A28" w:rsidRDefault="008B3A28" w:rsidP="00373D7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8B3A28" w:rsidRPr="008B3A28" w:rsidSect="00A35CDE">
      <w:footerReference w:type="default" r:id="rId8"/>
      <w:pgSz w:w="11906" w:h="16838"/>
      <w:pgMar w:top="1134" w:right="1416" w:bottom="993" w:left="1560" w:header="567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46" w:rsidRDefault="00A23546" w:rsidP="000D1BFD">
      <w:r>
        <w:separator/>
      </w:r>
    </w:p>
  </w:endnote>
  <w:endnote w:type="continuationSeparator" w:id="0">
    <w:p w:rsidR="00A23546" w:rsidRDefault="00A23546" w:rsidP="000D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20194"/>
      <w:docPartObj>
        <w:docPartGallery w:val="Page Numbers (Bottom of Page)"/>
        <w:docPartUnique/>
      </w:docPartObj>
    </w:sdtPr>
    <w:sdtEndPr/>
    <w:sdtContent>
      <w:p w:rsidR="00C04ECE" w:rsidRDefault="00A35CDE" w:rsidP="00C04ECE">
        <w:pPr>
          <w:pStyle w:val="a6"/>
          <w:jc w:val="center"/>
        </w:pPr>
        <w:r>
          <w:rPr>
            <w:rFonts w:hint="eastAsia"/>
          </w:rPr>
          <w:t>第</w:t>
        </w:r>
        <w:r w:rsidR="005D03E6">
          <w:rPr>
            <w:rFonts w:hint="eastAsia"/>
          </w:rPr>
          <w:t xml:space="preserve"> </w:t>
        </w:r>
        <w:r w:rsidR="00C04ECE">
          <w:fldChar w:fldCharType="begin"/>
        </w:r>
        <w:r w:rsidR="00C04ECE">
          <w:instrText>PAGE   \* MERGEFORMAT</w:instrText>
        </w:r>
        <w:r w:rsidR="00C04ECE">
          <w:fldChar w:fldCharType="separate"/>
        </w:r>
        <w:r w:rsidRPr="00A35CDE">
          <w:rPr>
            <w:noProof/>
            <w:lang w:val="zh-TW"/>
          </w:rPr>
          <w:t>1</w:t>
        </w:r>
        <w:r w:rsidR="00C04ECE"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  <w:r w:rsidR="005D03E6"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46" w:rsidRDefault="00A23546" w:rsidP="000D1BFD">
      <w:r>
        <w:separator/>
      </w:r>
    </w:p>
  </w:footnote>
  <w:footnote w:type="continuationSeparator" w:id="0">
    <w:p w:rsidR="00A23546" w:rsidRDefault="00A23546" w:rsidP="000D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A93"/>
    <w:multiLevelType w:val="hybridMultilevel"/>
    <w:tmpl w:val="6978923A"/>
    <w:lvl w:ilvl="0" w:tplc="DA243AF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9A5387C"/>
    <w:multiLevelType w:val="hybridMultilevel"/>
    <w:tmpl w:val="2C5070B2"/>
    <w:lvl w:ilvl="0" w:tplc="7E3AFF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06440F"/>
    <w:multiLevelType w:val="hybridMultilevel"/>
    <w:tmpl w:val="A336EFDE"/>
    <w:lvl w:ilvl="0" w:tplc="AD88CF2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AD88CF2C">
      <w:start w:val="1"/>
      <w:numFmt w:val="taiwaneseCountingThousand"/>
      <w:lvlText w:val="(%2)"/>
      <w:lvlJc w:val="left"/>
      <w:pPr>
        <w:ind w:left="1332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BD26CB"/>
    <w:multiLevelType w:val="hybridMultilevel"/>
    <w:tmpl w:val="E784530C"/>
    <w:lvl w:ilvl="0" w:tplc="DA243AF6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4">
    <w:nsid w:val="34154271"/>
    <w:multiLevelType w:val="hybridMultilevel"/>
    <w:tmpl w:val="117623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FCA86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4C7651"/>
    <w:multiLevelType w:val="hybridMultilevel"/>
    <w:tmpl w:val="EDBE11B0"/>
    <w:lvl w:ilvl="0" w:tplc="DA243AF6">
      <w:start w:val="1"/>
      <w:numFmt w:val="taiwaneseCountingThousand"/>
      <w:lvlText w:val="(%1)"/>
      <w:lvlJc w:val="left"/>
      <w:pPr>
        <w:ind w:left="1680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58F91641"/>
    <w:multiLevelType w:val="hybridMultilevel"/>
    <w:tmpl w:val="94DA0B8E"/>
    <w:lvl w:ilvl="0" w:tplc="FF70EE5E">
      <w:start w:val="1"/>
      <w:numFmt w:val="taiwaneseCountingThousand"/>
      <w:lvlText w:val="（%1）"/>
      <w:lvlJc w:val="left"/>
      <w:pPr>
        <w:tabs>
          <w:tab w:val="num" w:pos="1312"/>
        </w:tabs>
        <w:ind w:left="1312" w:hanging="990"/>
      </w:pPr>
      <w:rPr>
        <w:rFonts w:hint="default"/>
      </w:rPr>
    </w:lvl>
    <w:lvl w:ilvl="1" w:tplc="98B86E9C">
      <w:start w:val="1"/>
      <w:numFmt w:val="decimal"/>
      <w:lvlText w:val="%2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DB"/>
    <w:rsid w:val="00077ABD"/>
    <w:rsid w:val="000B0BD5"/>
    <w:rsid w:val="000C7B38"/>
    <w:rsid w:val="000D1BFD"/>
    <w:rsid w:val="00181038"/>
    <w:rsid w:val="001879CB"/>
    <w:rsid w:val="00196315"/>
    <w:rsid w:val="001D5D1F"/>
    <w:rsid w:val="001E0914"/>
    <w:rsid w:val="0022137C"/>
    <w:rsid w:val="0024389C"/>
    <w:rsid w:val="002E1906"/>
    <w:rsid w:val="002E539E"/>
    <w:rsid w:val="002F4CFA"/>
    <w:rsid w:val="00351CF5"/>
    <w:rsid w:val="00364E68"/>
    <w:rsid w:val="00373D74"/>
    <w:rsid w:val="003C075D"/>
    <w:rsid w:val="003C0B11"/>
    <w:rsid w:val="003D04EA"/>
    <w:rsid w:val="003D5E8E"/>
    <w:rsid w:val="0041625C"/>
    <w:rsid w:val="004E1BAB"/>
    <w:rsid w:val="004E4F05"/>
    <w:rsid w:val="00541F60"/>
    <w:rsid w:val="0054256D"/>
    <w:rsid w:val="005D03E6"/>
    <w:rsid w:val="005F4D7F"/>
    <w:rsid w:val="006860A6"/>
    <w:rsid w:val="006B2250"/>
    <w:rsid w:val="006C68AC"/>
    <w:rsid w:val="007139B2"/>
    <w:rsid w:val="00740849"/>
    <w:rsid w:val="00760F1A"/>
    <w:rsid w:val="00783F69"/>
    <w:rsid w:val="00784C1F"/>
    <w:rsid w:val="007B33E2"/>
    <w:rsid w:val="007E72C6"/>
    <w:rsid w:val="00803AAF"/>
    <w:rsid w:val="0082174C"/>
    <w:rsid w:val="0089245E"/>
    <w:rsid w:val="00892A4E"/>
    <w:rsid w:val="00895DE5"/>
    <w:rsid w:val="008B3A28"/>
    <w:rsid w:val="008C522C"/>
    <w:rsid w:val="00980378"/>
    <w:rsid w:val="009D15BE"/>
    <w:rsid w:val="00A23546"/>
    <w:rsid w:val="00A35CDE"/>
    <w:rsid w:val="00A85302"/>
    <w:rsid w:val="00AC2AAA"/>
    <w:rsid w:val="00B10685"/>
    <w:rsid w:val="00B4460F"/>
    <w:rsid w:val="00B907D7"/>
    <w:rsid w:val="00BD7AD0"/>
    <w:rsid w:val="00BE11F8"/>
    <w:rsid w:val="00BF0E23"/>
    <w:rsid w:val="00BF2F0C"/>
    <w:rsid w:val="00C04ECE"/>
    <w:rsid w:val="00C1051A"/>
    <w:rsid w:val="00C50BDD"/>
    <w:rsid w:val="00C90A12"/>
    <w:rsid w:val="00CF121B"/>
    <w:rsid w:val="00CF3BDB"/>
    <w:rsid w:val="00DE63A1"/>
    <w:rsid w:val="00DF60CC"/>
    <w:rsid w:val="00E07360"/>
    <w:rsid w:val="00E322D1"/>
    <w:rsid w:val="00E860DB"/>
    <w:rsid w:val="00E87E27"/>
    <w:rsid w:val="00ED206B"/>
    <w:rsid w:val="00F33883"/>
    <w:rsid w:val="00F35B3E"/>
    <w:rsid w:val="00F807BA"/>
    <w:rsid w:val="00F82A82"/>
    <w:rsid w:val="00F95117"/>
    <w:rsid w:val="00FB7C77"/>
    <w:rsid w:val="00FC33C8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1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1B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1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1B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台北市立弘道國中</dc:creator>
  <cp:lastModifiedBy>user</cp:lastModifiedBy>
  <cp:revision>4</cp:revision>
  <cp:lastPrinted>2014-01-07T09:31:00Z</cp:lastPrinted>
  <dcterms:created xsi:type="dcterms:W3CDTF">2018-08-20T03:33:00Z</dcterms:created>
  <dcterms:modified xsi:type="dcterms:W3CDTF">2018-08-20T03:49:00Z</dcterms:modified>
</cp:coreProperties>
</file>